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ascii="仿宋_GB2312" w:eastAsia="仿宋_GB2312"/>
          <w:sz w:val="32"/>
          <w:szCs w:val="32"/>
        </w:rPr>
        <w:pict>
          <v:shape id="_x0000_s1029" o:spid="_x0000_s1029" o:spt="136" type="#_x0000_t136" style="position:absolute;left:0pt;margin-left:5.15pt;margin-top:7.15pt;height:84.75pt;width:436.65pt;z-index:251660288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 text="f"/>
            <v:textpath on="t" fitshape="t" fitpath="t" trim="t" xscale="f" string="滕州市人民政府办公室文件" style="font-family:华文中宋;font-size:36pt;font-weight:bold;v-text-align:center;"/>
          </v:shape>
        </w:pict>
      </w: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spacing w:line="620" w:lineRule="exact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滕政办发〔201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号</w:t>
      </w: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ascii="仿宋_GB2312" w:eastAsia="仿宋_GB2312"/>
          <w:sz w:val="32"/>
          <w:szCs w:val="32"/>
        </w:rPr>
        <w:pict>
          <v:line id="_x0000_s1030" o:spid="_x0000_s1030" o:spt="20" style="position:absolute;left:0pt;margin-left:14.15pt;margin-top:9.55pt;height:0.05pt;width:405pt;z-index:251661312;mso-width-relative:page;mso-height-relative:page;" stroked="t" coordsize="21600,21600">
            <v:path arrowok="t"/>
            <v:fill focussize="0,0"/>
            <v:stroke weight="2.25pt" color="#FF0000"/>
            <v:imagedata o:title=""/>
            <o:lock v:ext="edit"/>
          </v:line>
        </w:pict>
      </w:r>
    </w:p>
    <w:p>
      <w:pPr>
        <w:spacing w:line="620" w:lineRule="exact"/>
        <w:rPr>
          <w:rFonts w:ascii="仿宋_GB2312" w:eastAsia="仿宋_GB2312" w:cs="Times New Roman"/>
          <w:sz w:val="32"/>
          <w:szCs w:val="32"/>
        </w:rPr>
      </w:pPr>
    </w:p>
    <w:p>
      <w:pPr>
        <w:pStyle w:val="2"/>
        <w:spacing w:line="620" w:lineRule="exact"/>
        <w:jc w:val="center"/>
        <w:rPr>
          <w:rFonts w:ascii="方正小标宋简体" w:hAnsi="方正小标宋简体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滕州市人民政府办公室</w:t>
      </w:r>
    </w:p>
    <w:p>
      <w:pPr>
        <w:pStyle w:val="2"/>
        <w:spacing w:line="620" w:lineRule="exact"/>
        <w:jc w:val="center"/>
        <w:rPr>
          <w:rFonts w:ascii="方正小标宋简体" w:hAnsi="方正小标宋简体" w:eastAsia="方正小标宋简体" w:cs="Times New Roman"/>
          <w:spacing w:val="-3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32"/>
          <w:sz w:val="44"/>
          <w:szCs w:val="44"/>
        </w:rPr>
        <w:t>关于实施流程再造推进“一窗受理·一次办好”</w:t>
      </w:r>
    </w:p>
    <w:p>
      <w:pPr>
        <w:pStyle w:val="2"/>
        <w:spacing w:line="620" w:lineRule="exact"/>
        <w:jc w:val="center"/>
        <w:rPr>
          <w:rFonts w:ascii="方正小标宋简体" w:hAnsi="方正小标宋简体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改革的意见</w:t>
      </w:r>
    </w:p>
    <w:p>
      <w:pPr>
        <w:pStyle w:val="5"/>
        <w:shd w:val="clear" w:color="auto" w:fill="FFFFFF"/>
        <w:spacing w:before="0" w:beforeAutospacing="0" w:after="0" w:afterAutospacing="0" w:line="620" w:lineRule="exact"/>
        <w:rPr>
          <w:rStyle w:val="8"/>
          <w:rFonts w:cs="Times New Roman"/>
          <w:color w:val="000000"/>
          <w:sz w:val="21"/>
          <w:szCs w:val="21"/>
        </w:rPr>
      </w:pPr>
    </w:p>
    <w:p>
      <w:pPr>
        <w:adjustRightInd w:val="0"/>
        <w:snapToGrid w:val="0"/>
        <w:spacing w:line="600" w:lineRule="exact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各镇人民政府、街道办事处，滕州经济开发区管委会，市政府各部门，各企事业单位：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习近平新时代中国特色社会主义思想和党的十九大精神，按照省政府、枣庄市政府关于“一窗受理·一次办好”改革的整体要求，进一步加快政府职能转变，通过业务流程革命性再造，强化制度保障、突出关键环节、聚焦重点领域，打造“审批事项少、办事效率高、服务质量优、群众获得感强”的一流营商环境。经市政府同意，现提出具体意见如下：</w:t>
      </w:r>
    </w:p>
    <w:p>
      <w:pPr>
        <w:adjustRightInd w:val="0"/>
        <w:snapToGrid w:val="0"/>
        <w:spacing w:line="60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黑体" w:hAnsi="黑体" w:eastAsia="黑体" w:cs="黑体"/>
          <w:sz w:val="32"/>
          <w:szCs w:val="32"/>
        </w:rPr>
        <w:t>一、强化流程再造制度保障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（一）健全统筹推进机制。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完善推进政府职能转变和“放管服”改革协调小组（以下简称协调小组），建立政府主要负责同志抓落实的工作机制。发挥理顺政府办公室牵头作用，完善协调小组内部工作运行，切实发挥各专题组、保障组和工作专班功能。加强规划引领，增强改革的系统性、整体性、连续性。（市政府办公室、市审批服务局牵头）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（二）建立协同运行机制。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提前服务、容缺受理、数据共享、材料互认等方式，打破部门边界，构建跨部门横向连通的审批服务流程。建立跨层级纵向联动的服务模式，对重要事项、重点项目实行集中办公、上下协同、专班推进，改“串联”审批为“并联”审批。优化机关内部工作流程，明确设计单位对外牵头科室，实行“一口对外”，限时办结，提高审批服务效率。（涉及各部门负责）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（三）构建法治保障机制。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按照上级优化营商环境立法精神，抓好“一窗受理·一次办好”改革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文件制定</w:t>
      </w:r>
      <w:r>
        <w:rPr>
          <w:rFonts w:hint="eastAsia" w:ascii="仿宋_GB2312" w:hAnsi="仿宋_GB2312" w:eastAsia="仿宋_GB2312" w:cs="仿宋_GB2312"/>
          <w:sz w:val="32"/>
          <w:szCs w:val="32"/>
        </w:rPr>
        <w:t>涉及工作的落实。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月底前，组织清理一批滞后流程再造改革要求、不利于优化营商环境的文件，做到应改尽改、应废尽废。（市司法局牵头）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楷体" w:hAnsi="楷体" w:eastAsia="楷体" w:cs="楷体"/>
          <w:sz w:val="32"/>
          <w:szCs w:val="32"/>
        </w:rPr>
        <w:t>　（四）完善监督考评机制。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建立事项、渠道、部门全覆盖的政务服务“好差评”制度（市政府办公室、市审批服务局牵头）。发挥新闻媒体舆论监督作用，倒逼提升政务服务效能（市委宣传部负责）。建立约谈制度，对在“放管服”改革考核评估、营商环境评价中排名靠后的部门（单位）和镇街的主要负责人进行约谈（市政府办公室、市发展改革局负责）。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　二、突出流程再造关键环节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（五）推动“一链办理”流程优化。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推动政务服务事项标准化，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实现同一事项名称、编码、类型、设定依据、行使层级、受理条件、服务对象、申请材料、办理时限、收费项目等要素省、市、县“三级十同”。按照“一个窗口、一套材料、一张表单、一个流程”的要求，开展“一件事”主题式服务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月底前，推出面向企业和群众的</w:t>
      </w:r>
      <w:r>
        <w:rPr>
          <w:rFonts w:ascii="仿宋_GB2312" w:hAnsi="仿宋_GB2312" w:eastAsia="仿宋_GB2312" w:cs="仿宋_GB2312"/>
          <w:sz w:val="32"/>
          <w:szCs w:val="32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项主题式服务流程标准。持续“减事项、减环节、减材料、减时间”，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年内大幅度压减本级行政许可事项，尽可能减少办事环节、申请人提交材料和审批办理时限。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月底前，组织开展变相审批集中清理整治。（市审批服务局牵头）</w:t>
      </w:r>
    </w:p>
    <w:p>
      <w:pPr>
        <w:adjustRightInd w:val="0"/>
        <w:snapToGrid w:val="0"/>
        <w:spacing w:line="600" w:lineRule="exact"/>
        <w:ind w:firstLine="645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（六）完善“一网通办”信息支撑。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政务服务事项办理出入口向统一平台集中工程要求，实现事项受理、审查、决定、收费、咨询等全流程在线办理。加强人口、法人单位等基础信息应用，加快推进历史数据电子化归档，推行证明材料在线获取、申请材料跨部门复用，实现“一处填报、全网通用”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推出一批“秒批、秒办”事项。建立健全政务服务动态优化工作机制，探索建立“管运分离”工作模式，实现政务服务迭代升级更新（市审批服务局、市大数据服务中心负责）。深入推进信息资源整合共享，全面清理整合部门已有自建系统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月底前，涉及各部门分别制定清理整合计划，报经市政府同意后实施，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月底前基本完成整合工作（涉及各部门负责）。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（七）深化“一窗受理”集成服务。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推进政务服务大厅全领域无差别“一窗受理”改革，健全“前台综合受理、后台分类审批、统一窗口出件”服务机制。政务服务大厅建立健全帮办代办、“吐槽找茬”、窗口无权否决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超时即审批</w:t>
      </w:r>
      <w:r>
        <w:rPr>
          <w:rFonts w:hint="eastAsia" w:ascii="仿宋_GB2312" w:hAnsi="仿宋_GB2312" w:eastAsia="仿宋_GB2312" w:cs="仿宋_GB2312"/>
          <w:sz w:val="32"/>
          <w:szCs w:val="32"/>
        </w:rPr>
        <w:t>机制（市审批服务局负责）。参照优化“爱山东”</w:t>
      </w:r>
      <w:r>
        <w:rPr>
          <w:rFonts w:ascii="仿宋_GB2312" w:hAnsi="仿宋_GB2312" w:eastAsia="仿宋_GB2312" w:cs="仿宋_GB2312"/>
          <w:sz w:val="32"/>
          <w:szCs w:val="32"/>
        </w:rPr>
        <w:t>APP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服务功能，制定各级、各部门接入服务事项、电子证照应用等清单，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月底前，完成上级要求的各类服务接入和电子证照“亮证”应用，前</w:t>
      </w:r>
      <w:r>
        <w:rPr>
          <w:rFonts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位高频办件事项全部实现掌上办理（市大数据服务中心、市审批服务局牵头）。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三、聚焦流程再造重点领域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（八）开展营商环境优化提升行动。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对照国家、省和枣庄市营商环境评价有关一级指标，逐一明确牵头部门，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组织各牵头部门对标最高标准、最好水平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分类开展专项提升行动</w:t>
      </w:r>
      <w:r>
        <w:rPr>
          <w:rFonts w:hint="eastAsia" w:ascii="仿宋_GB2312" w:hAnsi="仿宋_GB2312" w:eastAsia="仿宋_GB2312" w:cs="仿宋_GB2312"/>
          <w:sz w:val="32"/>
          <w:szCs w:val="32"/>
        </w:rPr>
        <w:t>（市发展改革局牵头）。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月底前，将企业开办时间压缩到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个工作日内；加快工程建设项目审批制度改革，确保全过程审批时间控制在</w:t>
      </w:r>
      <w:r>
        <w:rPr>
          <w:rFonts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个工作日以内（市审批服务局负责）。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月底前，工程建设项目审批管理系统与相关系统平台实现互联互通；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起，将工程建设项目审批纳入统一信息数据平台运行。分类组织高频工程建设项目审批流程再造，进一步精简低风险工程建设项目审批事项，压缩办理时限（市审批服务局、市住房城乡建设局牵头）。优化土地审批服务流程，使用好农用地转用和土地征收审批权限，进一步减少审批时限（市自然资源局负责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做好省营商环境评价反馈问题整改工作，加强评价结果运用</w:t>
      </w:r>
      <w:r>
        <w:rPr>
          <w:rFonts w:hint="eastAsia" w:ascii="仿宋_GB2312" w:hAnsi="仿宋_GB2312" w:eastAsia="仿宋_GB2312" w:cs="仿宋_GB2312"/>
          <w:sz w:val="32"/>
          <w:szCs w:val="32"/>
        </w:rPr>
        <w:t>（市发展改革局牵头）。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（九）开展民生服务流程再造行动。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月底前，聚焦社会保障、卫生健康、就业创业、民政救助、户籍办理、公安交管、交通运输等</w:t>
      </w:r>
      <w:r>
        <w:rPr>
          <w:rFonts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个重点领域和老年人、残疾人、退役军人、高校毕业生、高层次人才等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类重点人群，选取高频民生服务事项，集中开展流程优化专项行动。（市政府办公室、市审批服务局牵头，涉及各部门负责）积极推行告知承诺、预约办理、延时办理等服务方式，推动民生事项“简易办、就近办、快捷办”。（市审批服务局负责）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  <w:r>
        <w:rPr>
          <w:rFonts w:hint="eastAsia" w:ascii="楷体" w:hAnsi="楷体" w:eastAsia="楷体" w:cs="楷体"/>
          <w:sz w:val="32"/>
          <w:szCs w:val="32"/>
        </w:rPr>
        <w:t>（十）开展监管效率提升行动。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全面推行市场监管领域跨部门“双随机、一公开”联合监管，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年双随机抽查覆盖企业比例不低于</w:t>
      </w:r>
      <w:r>
        <w:rPr>
          <w:rFonts w:ascii="仿宋_GB2312" w:hAnsi="仿宋_GB2312" w:eastAsia="仿宋_GB2312" w:cs="仿宋_GB2312"/>
          <w:sz w:val="32"/>
          <w:szCs w:val="32"/>
        </w:rPr>
        <w:t>5%</w:t>
      </w:r>
      <w:r>
        <w:rPr>
          <w:rFonts w:hint="eastAsia" w:ascii="仿宋_GB2312" w:hAnsi="仿宋_GB2312" w:eastAsia="仿宋_GB2312" w:cs="仿宋_GB2312"/>
          <w:sz w:val="32"/>
          <w:szCs w:val="32"/>
        </w:rPr>
        <w:t>，跨部门联合抽查次数不低于总抽查数的</w:t>
      </w:r>
      <w:r>
        <w:rPr>
          <w:rFonts w:ascii="仿宋_GB2312" w:hAnsi="仿宋_GB2312" w:eastAsia="仿宋_GB2312" w:cs="仿宋_GB2312"/>
          <w:sz w:val="32"/>
          <w:szCs w:val="32"/>
        </w:rPr>
        <w:t>10%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年实现部门联合随机抽查常态化。（市市场监管局负责）推行“互联网</w:t>
      </w:r>
      <w:r>
        <w:rPr>
          <w:rFonts w:ascii="仿宋_GB2312" w:hAnsi="仿宋_GB2312" w:eastAsia="仿宋_GB2312" w:cs="仿宋_GB2312"/>
          <w:sz w:val="32"/>
          <w:szCs w:val="32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</w:rPr>
        <w:t>监管”，</w:t>
      </w:r>
      <w:r>
        <w:rPr>
          <w:rFonts w:ascii="仿宋_GB2312" w:hAnsi="仿宋_GB2312" w:eastAsia="仿宋_GB2312" w:cs="仿宋_GB2312"/>
          <w:sz w:val="32"/>
          <w:szCs w:val="32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月底前，完成本级平台与上级“互联网</w:t>
      </w:r>
      <w:r>
        <w:rPr>
          <w:rFonts w:ascii="仿宋_GB2312" w:hAnsi="仿宋_GB2312" w:eastAsia="仿宋_GB2312" w:cs="仿宋_GB2312"/>
          <w:sz w:val="32"/>
          <w:szCs w:val="32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</w:rPr>
        <w:t>监管”系统对接，建立常态化监管数据归集共享机制，实现监管事项统一接入、统一反馈，建成监管“一张网”。（市政府办公室、市大数据服务中心、市市场监管局负责）强化信用监管，根据信用等级采取差异化监管措施，实行联合激励、联合惩戒，让“守信者一路绿灯、失信者寸步难行”。（市发展改革局、市市场监管局负责）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4800" w:firstLineChars="15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滕州市人民政府办公室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          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  <w:bookmarkStart w:id="0" w:name="_GoBack"/>
      <w:bookmarkEnd w:id="0"/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shd w:val="solid" w:color="FFFFFF" w:fill="auto"/>
        <w:topLinePunct/>
        <w:adjustRightInd w:val="0"/>
        <w:snapToGrid w:val="0"/>
        <w:spacing w:line="600" w:lineRule="exact"/>
        <w:rPr>
          <w:rFonts w:ascii="仿宋_GB2312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ind w:left="1027" w:hanging="1026" w:hangingChars="489"/>
        <w:rPr>
          <w:rFonts w:ascii="仿宋_GB2312" w:hAnsi="Batang" w:eastAsia="仿宋_GB2312" w:cs="Times New Roman"/>
          <w:sz w:val="28"/>
          <w:szCs w:val="28"/>
        </w:rPr>
      </w:pPr>
      <w:r>
        <w:pict>
          <v:line id="直接连接符 3" o:spid="_x0000_s1026" o:spt="20" style="position:absolute;left:0pt;margin-left:-3.75pt;margin-top:1.2pt;height:0pt;width:432pt;z-index:251659264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hint="eastAsia" w:ascii="仿宋_GB2312" w:hAnsi="Batang" w:eastAsia="仿宋_GB2312" w:cs="仿宋_GB2312"/>
          <w:b/>
          <w:bCs/>
          <w:sz w:val="28"/>
          <w:szCs w:val="28"/>
        </w:rPr>
        <w:t>抄</w:t>
      </w:r>
      <w:r>
        <w:rPr>
          <w:rFonts w:ascii="仿宋_GB2312" w:hAnsi="Batang" w:eastAsia="仿宋_GB2312" w:cs="仿宋_GB2312"/>
          <w:b/>
          <w:bCs/>
          <w:sz w:val="28"/>
          <w:szCs w:val="28"/>
        </w:rPr>
        <w:t xml:space="preserve">  </w:t>
      </w:r>
      <w:r>
        <w:rPr>
          <w:rFonts w:hint="eastAsia" w:ascii="仿宋_GB2312" w:hAnsi="Batang" w:eastAsia="仿宋_GB2312" w:cs="仿宋_GB2312"/>
          <w:b/>
          <w:bCs/>
          <w:sz w:val="28"/>
          <w:szCs w:val="28"/>
        </w:rPr>
        <w:t>送：</w:t>
      </w:r>
      <w:r>
        <w:rPr>
          <w:rFonts w:hint="eastAsia" w:ascii="仿宋_GB2312" w:hAnsi="Batang" w:eastAsia="仿宋_GB2312" w:cs="仿宋_GB2312"/>
          <w:sz w:val="28"/>
          <w:szCs w:val="28"/>
        </w:rPr>
        <w:t>市委有关部门，市人大常委会办公室，市政协办公室，市监察委，市法院，市检察院，市人武部。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pict>
          <v:line id="直接连接符 2" o:spid="_x0000_s1027" o:spt="20" style="position:absolute;left:0pt;margin-left:-3.9pt;margin-top:31.05pt;height:0pt;width:432pt;z-index:251659264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pict>
          <v:line id="直接连接符 1" o:spid="_x0000_s1028" o:spt="20" style="position:absolute;left:0pt;margin-left:-3.75pt;margin-top:2.2pt;height:0pt;width:432pt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Batang" w:eastAsia="仿宋_GB2312" w:cs="仿宋_GB2312"/>
          <w:sz w:val="28"/>
          <w:szCs w:val="28"/>
        </w:rPr>
        <w:t>滕州市人民政府办公室</w:t>
      </w:r>
      <w:r>
        <w:rPr>
          <w:rFonts w:ascii="仿宋_GB2312" w:hAnsi="Batang" w:eastAsia="仿宋_GB2312" w:cs="仿宋_GB2312"/>
          <w:sz w:val="28"/>
          <w:szCs w:val="28"/>
        </w:rPr>
        <w:t xml:space="preserve">                     2019</w:t>
      </w:r>
      <w:r>
        <w:rPr>
          <w:rFonts w:hint="eastAsia" w:ascii="仿宋_GB2312" w:hAnsi="Batang" w:eastAsia="仿宋_GB2312" w:cs="仿宋_GB2312"/>
          <w:sz w:val="28"/>
          <w:szCs w:val="28"/>
        </w:rPr>
        <w:t>年</w:t>
      </w:r>
      <w:r>
        <w:rPr>
          <w:rFonts w:ascii="仿宋_GB2312" w:hAnsi="Batang" w:eastAsia="仿宋_GB2312" w:cs="仿宋_GB2312"/>
          <w:sz w:val="28"/>
          <w:szCs w:val="28"/>
        </w:rPr>
        <w:t>10</w:t>
      </w:r>
      <w:r>
        <w:rPr>
          <w:rFonts w:hint="eastAsia" w:ascii="仿宋_GB2312" w:hAnsi="Batang" w:eastAsia="仿宋_GB2312" w:cs="仿宋_GB2312"/>
          <w:sz w:val="28"/>
          <w:szCs w:val="28"/>
        </w:rPr>
        <w:t>月</w:t>
      </w:r>
      <w:r>
        <w:rPr>
          <w:rFonts w:hint="eastAsia" w:ascii="仿宋_GB2312" w:hAnsi="Batang" w:eastAsia="仿宋_GB2312" w:cs="仿宋_GB2312"/>
          <w:sz w:val="28"/>
          <w:szCs w:val="28"/>
          <w:lang w:val="en-US" w:eastAsia="zh-CN"/>
        </w:rPr>
        <w:t>16</w:t>
      </w:r>
      <w:r>
        <w:rPr>
          <w:rFonts w:hint="eastAsia" w:ascii="仿宋_GB2312" w:hAnsi="Batang" w:eastAsia="仿宋_GB2312" w:cs="仿宋_GB2312"/>
          <w:sz w:val="28"/>
          <w:szCs w:val="28"/>
        </w:rPr>
        <w:t>日</w:t>
      </w:r>
    </w:p>
    <w:sectPr>
      <w:footerReference r:id="rId3" w:type="default"/>
      <w:pgSz w:w="11906" w:h="16838"/>
      <w:pgMar w:top="1701" w:right="1701" w:bottom="1701" w:left="1701" w:header="851" w:footer="130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8B7075-0D86-416F-87F5-AAD8E2CA09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A059B7D-2A66-4EAC-869A-E406E14D0B6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7A6916A-60D8-46B8-9995-44F2A1B3078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54364BA-26B7-4F2B-9A72-8B91129283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E2049E5-542B-4E89-B0F1-FC7CF963B498}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  <w:embedRegular r:id="rId6" w:fontKey="{C841841A-9253-4646-8838-2A68077BE462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  <w:rFonts w:ascii="宋体" w:cs="宋体"/>
        <w:sz w:val="24"/>
        <w:szCs w:val="24"/>
      </w:rPr>
    </w:pPr>
    <w:r>
      <w:rPr>
        <w:rStyle w:val="9"/>
        <w:rFonts w:ascii="宋体" w:hAnsi="宋体" w:cs="宋体"/>
        <w:sz w:val="24"/>
        <w:szCs w:val="24"/>
      </w:rPr>
      <w:fldChar w:fldCharType="begin"/>
    </w:r>
    <w:r>
      <w:rPr>
        <w:rStyle w:val="9"/>
        <w:rFonts w:ascii="宋体" w:hAnsi="宋体" w:cs="宋体"/>
        <w:sz w:val="24"/>
        <w:szCs w:val="24"/>
      </w:rPr>
      <w:instrText xml:space="preserve">PAGE  </w:instrText>
    </w:r>
    <w:r>
      <w:rPr>
        <w:rStyle w:val="9"/>
        <w:rFonts w:ascii="宋体" w:hAnsi="宋体" w:cs="宋体"/>
        <w:sz w:val="24"/>
        <w:szCs w:val="24"/>
      </w:rPr>
      <w:fldChar w:fldCharType="separate"/>
    </w:r>
    <w:r>
      <w:rPr>
        <w:rStyle w:val="9"/>
        <w:rFonts w:ascii="宋体" w:hAnsi="宋体" w:cs="宋体"/>
        <w:sz w:val="24"/>
        <w:szCs w:val="24"/>
      </w:rPr>
      <w:t>- 6 -</w:t>
    </w:r>
    <w:r>
      <w:rPr>
        <w:rStyle w:val="9"/>
        <w:rFonts w:ascii="宋体" w:hAnsi="宋体" w:cs="宋体"/>
        <w:sz w:val="24"/>
        <w:szCs w:val="24"/>
      </w:rPr>
      <w:fldChar w:fldCharType="end"/>
    </w:r>
  </w:p>
  <w:p>
    <w:pPr>
      <w:pStyle w:val="3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gyYTkyZjE0ZTAxMTM0ODE3MDgwZTI1Yzc4Zjc1NDEifQ=="/>
  </w:docVars>
  <w:rsids>
    <w:rsidRoot w:val="0068016A"/>
    <w:rsid w:val="000142A1"/>
    <w:rsid w:val="002E0E53"/>
    <w:rsid w:val="003779F8"/>
    <w:rsid w:val="00406C02"/>
    <w:rsid w:val="0044082B"/>
    <w:rsid w:val="004C41AC"/>
    <w:rsid w:val="004D7BBA"/>
    <w:rsid w:val="005577AA"/>
    <w:rsid w:val="006100CC"/>
    <w:rsid w:val="0068016A"/>
    <w:rsid w:val="00704809"/>
    <w:rsid w:val="00805118"/>
    <w:rsid w:val="00BD6BC6"/>
    <w:rsid w:val="00BF00E7"/>
    <w:rsid w:val="00C27D62"/>
    <w:rsid w:val="00C707C3"/>
    <w:rsid w:val="00C84A10"/>
    <w:rsid w:val="00CB5503"/>
    <w:rsid w:val="00D77AF9"/>
    <w:rsid w:val="00E04B2D"/>
    <w:rsid w:val="00E5160F"/>
    <w:rsid w:val="00E544E4"/>
    <w:rsid w:val="00E953FD"/>
    <w:rsid w:val="00F46B83"/>
    <w:rsid w:val="10806359"/>
    <w:rsid w:val="1BA90835"/>
    <w:rsid w:val="20A61482"/>
    <w:rsid w:val="4DDE3836"/>
    <w:rsid w:val="51B3325D"/>
    <w:rsid w:val="5FC4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99"/>
    <w:rPr>
      <w:rFonts w:ascii="宋体" w:hAnsi="Courier New" w:cs="宋体"/>
      <w:kern w:val="0"/>
      <w:sz w:val="20"/>
      <w:szCs w:val="20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99"/>
    <w:rPr>
      <w:b/>
      <w:bCs/>
    </w:rPr>
  </w:style>
  <w:style w:type="character" w:styleId="9">
    <w:name w:val="page number"/>
    <w:basedOn w:val="7"/>
    <w:qFormat/>
    <w:uiPriority w:val="99"/>
  </w:style>
  <w:style w:type="character" w:customStyle="1" w:styleId="10">
    <w:name w:val="纯文本 Char"/>
    <w:link w:val="2"/>
    <w:qFormat/>
    <w:locked/>
    <w:uiPriority w:val="99"/>
    <w:rPr>
      <w:rFonts w:ascii="宋体" w:hAnsi="Courier New" w:cs="宋体"/>
      <w:sz w:val="21"/>
      <w:szCs w:val="21"/>
    </w:rPr>
  </w:style>
  <w:style w:type="character" w:customStyle="1" w:styleId="11">
    <w:name w:val="Plain Text Char1"/>
    <w:semiHidden/>
    <w:qFormat/>
    <w:uiPriority w:val="99"/>
    <w:rPr>
      <w:rFonts w:ascii="宋体" w:hAnsi="Courier New" w:cs="Courier New"/>
      <w:szCs w:val="21"/>
    </w:rPr>
  </w:style>
  <w:style w:type="character" w:customStyle="1" w:styleId="12">
    <w:name w:val="纯文本 Char1"/>
    <w:semiHidden/>
    <w:qFormat/>
    <w:uiPriority w:val="99"/>
    <w:rPr>
      <w:rFonts w:ascii="宋体" w:hAnsi="Courier New" w:eastAsia="宋体" w:cs="宋体"/>
      <w:sz w:val="21"/>
      <w:szCs w:val="21"/>
    </w:rPr>
  </w:style>
  <w:style w:type="character" w:customStyle="1" w:styleId="13">
    <w:name w:val="页眉 Char"/>
    <w:link w:val="4"/>
    <w:semiHidden/>
    <w:qFormat/>
    <w:uiPriority w:val="99"/>
    <w:rPr>
      <w:rFonts w:cs="Calibri"/>
      <w:sz w:val="18"/>
      <w:szCs w:val="18"/>
    </w:rPr>
  </w:style>
  <w:style w:type="character" w:customStyle="1" w:styleId="14">
    <w:name w:val="页脚 Char"/>
    <w:link w:val="3"/>
    <w:semiHidden/>
    <w:qFormat/>
    <w:uiPriority w:val="99"/>
    <w:rPr>
      <w:rFonts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0"/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syyw</Company>
  <Pages>6</Pages>
  <Words>2609</Words>
  <Characters>2696</Characters>
  <Lines>68</Lines>
  <Paragraphs>30</Paragraphs>
  <TotalTime>0</TotalTime>
  <ScaleCrop>false</ScaleCrop>
  <LinksUpToDate>false</LinksUpToDate>
  <CharactersWithSpaces>2774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2019-10-06T01:34:00Z</dcterms:created>
  <dc:creator>tengzhou</dc:creator>
  <cp:lastModifiedBy>爱新觉罗-琛</cp:lastModifiedBy>
  <dcterms:modified xsi:type="dcterms:W3CDTF">2022-11-22T08:27:22Z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84AA7B753E814F798923614C8A15417C</vt:lpwstr>
  </property>
</Properties>
</file>